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59432090" w:rsidR="00FA260E" w:rsidRPr="00993152" w:rsidRDefault="00A90961"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105bis</w:t>
      </w:r>
      <w:r w:rsidR="00FA260E" w:rsidRPr="007D3E81">
        <w:rPr>
          <w:rFonts w:cs="Arial"/>
          <w:b/>
          <w:sz w:val="24"/>
          <w:szCs w:val="24"/>
        </w:rPr>
        <w:tab/>
      </w:r>
      <w:r w:rsidR="00FA260E" w:rsidRPr="00F36EF3">
        <w:rPr>
          <w:rFonts w:eastAsia="宋体" w:cs="Arial"/>
          <w:b/>
          <w:sz w:val="24"/>
          <w:szCs w:val="24"/>
          <w:lang w:eastAsia="zh-CN"/>
        </w:rPr>
        <w:t>R2-</w:t>
      </w:r>
      <w:r w:rsidR="000960E9" w:rsidRPr="00F36EF3">
        <w:rPr>
          <w:rFonts w:eastAsia="宋体" w:cs="Arial"/>
          <w:b/>
          <w:sz w:val="24"/>
          <w:szCs w:val="24"/>
          <w:lang w:eastAsia="zh-CN"/>
        </w:rPr>
        <w:t>1</w:t>
      </w:r>
      <w:r w:rsidR="009474D8">
        <w:rPr>
          <w:rFonts w:eastAsia="宋体" w:cs="Arial"/>
          <w:b/>
          <w:sz w:val="24"/>
          <w:szCs w:val="24"/>
          <w:lang w:eastAsia="zh-CN"/>
        </w:rPr>
        <w:t>9</w:t>
      </w:r>
      <w:r w:rsidR="00230C71">
        <w:rPr>
          <w:rFonts w:eastAsia="宋体" w:cs="Arial"/>
          <w:b/>
          <w:sz w:val="24"/>
          <w:szCs w:val="24"/>
          <w:lang w:eastAsia="zh-CN"/>
        </w:rPr>
        <w:t>04165</w:t>
      </w:r>
    </w:p>
    <w:p w14:paraId="57FB1393" w14:textId="15E64FBD" w:rsidR="00FA260E" w:rsidRPr="00483CF3" w:rsidRDefault="00A90961" w:rsidP="00FA260E">
      <w:pPr>
        <w:pStyle w:val="CRCoverPage"/>
        <w:tabs>
          <w:tab w:val="right" w:pos="9639"/>
          <w:tab w:val="right" w:pos="13323"/>
        </w:tabs>
        <w:spacing w:after="0"/>
        <w:rPr>
          <w:rFonts w:cs="Arial"/>
          <w:lang w:eastAsia="zh-CN"/>
        </w:rPr>
      </w:pPr>
      <w:r>
        <w:rPr>
          <w:rFonts w:cs="Arial"/>
          <w:b/>
          <w:noProof/>
          <w:sz w:val="24"/>
          <w:szCs w:val="24"/>
        </w:rPr>
        <w:t>Xi’an</w:t>
      </w:r>
      <w:r w:rsidRPr="00FC24A4">
        <w:rPr>
          <w:rFonts w:cs="Arial"/>
          <w:b/>
          <w:noProof/>
          <w:sz w:val="24"/>
          <w:szCs w:val="24"/>
        </w:rPr>
        <w:t xml:space="preserve">, </w:t>
      </w:r>
      <w:r>
        <w:rPr>
          <w:rFonts w:cs="Arial"/>
          <w:b/>
          <w:noProof/>
          <w:sz w:val="24"/>
          <w:szCs w:val="24"/>
        </w:rPr>
        <w:t>China</w:t>
      </w:r>
      <w:r w:rsidRPr="00FC24A4">
        <w:rPr>
          <w:rFonts w:cs="Arial"/>
          <w:b/>
          <w:noProof/>
          <w:sz w:val="24"/>
          <w:szCs w:val="24"/>
        </w:rPr>
        <w:t xml:space="preserve">, </w:t>
      </w:r>
      <w:r>
        <w:rPr>
          <w:rFonts w:cs="Arial"/>
          <w:b/>
          <w:noProof/>
          <w:sz w:val="24"/>
          <w:szCs w:val="24"/>
        </w:rPr>
        <w:t>8-12 Apr 2019</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4F545A08"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230C71">
        <w:rPr>
          <w:rFonts w:ascii="Arial" w:hAnsi="Arial" w:cs="Arial"/>
          <w:sz w:val="24"/>
          <w:szCs w:val="24"/>
          <w:lang w:eastAsia="zh-CN"/>
        </w:rPr>
        <w:t>11.6.4.1.2</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7986E1D6"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2A031F">
        <w:rPr>
          <w:rFonts w:ascii="Arial" w:hAnsi="Arial" w:cs="Arial"/>
          <w:kern w:val="2"/>
          <w:sz w:val="24"/>
          <w:szCs w:val="24"/>
          <w:lang w:val="en-US" w:eastAsia="zh-CN"/>
        </w:rPr>
        <w:t>Discussion</w:t>
      </w:r>
      <w:r w:rsidR="00BF22DA" w:rsidRPr="00BF22DA">
        <w:rPr>
          <w:rFonts w:ascii="Arial" w:hAnsi="Arial" w:cs="Arial"/>
          <w:kern w:val="2"/>
          <w:sz w:val="24"/>
          <w:szCs w:val="24"/>
          <w:lang w:val="en-US" w:eastAsia="zh-CN"/>
        </w:rPr>
        <w:t>s on</w:t>
      </w:r>
      <w:r w:rsidR="00525CD5">
        <w:rPr>
          <w:rFonts w:ascii="Arial" w:hAnsi="Arial" w:cs="Arial"/>
          <w:kern w:val="2"/>
          <w:sz w:val="24"/>
          <w:szCs w:val="24"/>
          <w:lang w:val="en-US" w:eastAsia="zh-CN"/>
        </w:rPr>
        <w:t xml:space="preserve"> </w:t>
      </w:r>
      <w:r w:rsidR="002A031F">
        <w:rPr>
          <w:rFonts w:ascii="Arial" w:hAnsi="Arial" w:cs="Arial"/>
          <w:kern w:val="2"/>
          <w:sz w:val="24"/>
          <w:szCs w:val="24"/>
          <w:lang w:val="en-US" w:eastAsia="zh-CN"/>
        </w:rPr>
        <w:t>cell measurement</w:t>
      </w:r>
      <w:r w:rsidR="00F239A3">
        <w:rPr>
          <w:rFonts w:ascii="Arial" w:hAnsi="Arial" w:cs="Arial"/>
          <w:kern w:val="2"/>
          <w:sz w:val="24"/>
          <w:szCs w:val="24"/>
          <w:lang w:val="en-US" w:eastAsia="zh-CN"/>
        </w:rPr>
        <w:t xml:space="preserve"> in</w:t>
      </w:r>
      <w:r w:rsidR="00BE74D2">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AB2A3CC" w14:textId="72AC323A" w:rsidR="003F3DF9" w:rsidRPr="001F41CD" w:rsidRDefault="002A031F" w:rsidP="002B4AC6">
      <w:pPr>
        <w:overflowPunct w:val="0"/>
        <w:autoSpaceDE w:val="0"/>
        <w:autoSpaceDN w:val="0"/>
        <w:adjustRightInd w:val="0"/>
        <w:spacing w:after="0"/>
        <w:textAlignment w:val="baseline"/>
      </w:pPr>
      <w:r>
        <w:rPr>
          <w:bCs/>
          <w:lang w:eastAsia="zh-CN"/>
        </w:rPr>
        <w:t>In this contribution, we discuss cell measurement in NTN</w:t>
      </w:r>
      <w:r w:rsidR="00285EBB">
        <w:t>.</w:t>
      </w:r>
      <w:r w:rsidR="00693B1B">
        <w:t xml:space="preserve"> </w:t>
      </w:r>
    </w:p>
    <w:p w14:paraId="411C19D8" w14:textId="07548F35" w:rsidR="00923947" w:rsidRDefault="008C0D0D" w:rsidP="002A031F">
      <w:pPr>
        <w:pStyle w:val="1"/>
        <w:rPr>
          <w:lang w:eastAsia="zh-CN"/>
        </w:rPr>
      </w:pPr>
      <w:r>
        <w:rPr>
          <w:lang w:eastAsia="zh-CN"/>
        </w:rPr>
        <w:t>Discussion</w:t>
      </w:r>
    </w:p>
    <w:p w14:paraId="36A0E4DD" w14:textId="70F58560" w:rsidR="00535AE5" w:rsidRDefault="00923947" w:rsidP="00535AE5">
      <w:pPr>
        <w:rPr>
          <w:lang w:eastAsia="zh-CN"/>
        </w:rPr>
      </w:pPr>
      <w:r>
        <w:rPr>
          <w:rFonts w:hint="eastAsia"/>
          <w:lang w:eastAsia="zh-CN"/>
        </w:rPr>
        <w:t xml:space="preserve">In terrestrial networks, </w:t>
      </w:r>
      <w:r>
        <w:rPr>
          <w:lang w:eastAsia="zh-CN"/>
        </w:rPr>
        <w:t xml:space="preserve">mobility management is based on cell </w:t>
      </w:r>
      <w:r w:rsidR="00535AE5">
        <w:rPr>
          <w:lang w:eastAsia="zh-CN"/>
        </w:rPr>
        <w:t xml:space="preserve">quality </w:t>
      </w:r>
      <w:r>
        <w:rPr>
          <w:lang w:eastAsia="zh-CN"/>
        </w:rPr>
        <w:t>measurement</w:t>
      </w:r>
      <w:r w:rsidR="00535AE5">
        <w:rPr>
          <w:lang w:eastAsia="zh-CN"/>
        </w:rPr>
        <w:t xml:space="preserve">. This is reasonable and efficient for NR since a clear near-far effect is expected in terrestrial networks. As depicted in Figure 1(a), a UE can approximately determine whether it is located in the </w:t>
      </w:r>
      <w:r w:rsidR="002A031F">
        <w:rPr>
          <w:lang w:eastAsia="zh-CN"/>
        </w:rPr>
        <w:t>centre</w:t>
      </w:r>
      <w:r w:rsidR="00535AE5">
        <w:rPr>
          <w:lang w:eastAsia="zh-CN"/>
        </w:rPr>
        <w:t xml:space="preserve"> or edge of the serving cell by measuring the value of RSRP. However, regarding the NTN context shown in Figure 1(b), the near-far effect is not clearly exhibited within a cell.</w:t>
      </w:r>
    </w:p>
    <w:p w14:paraId="5578D33E" w14:textId="25EA8E44" w:rsidR="00535AE5" w:rsidRDefault="00D35E12" w:rsidP="00EA022F">
      <w:pPr>
        <w:jc w:val="center"/>
        <w:rPr>
          <w:lang w:eastAsia="zh-CN"/>
        </w:rPr>
      </w:pPr>
      <w:r>
        <w:object w:dxaOrig="8940" w:dyaOrig="5175" w14:anchorId="037B2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213.2pt" o:ole="">
            <v:imagedata r:id="rId8" o:title=""/>
          </v:shape>
          <o:OLEObject Type="Embed" ProgID="Visio.Drawing.15" ShapeID="_x0000_i1025" DrawAspect="Content" ObjectID="_1615311490" r:id="rId9"/>
        </w:object>
      </w:r>
    </w:p>
    <w:p w14:paraId="3BDFEDAE" w14:textId="32607BE7" w:rsidR="00923947" w:rsidRDefault="00535AE5" w:rsidP="00EA022F">
      <w:pPr>
        <w:jc w:val="center"/>
        <w:rPr>
          <w:lang w:eastAsia="zh-CN"/>
        </w:rPr>
      </w:pPr>
      <w:r>
        <w:rPr>
          <w:lang w:eastAsia="zh-CN"/>
        </w:rPr>
        <w:t>Figure 1. A sketch of near-far effect in different scenarios: (a) Terrestrial Network; (b) NTN</w:t>
      </w:r>
    </w:p>
    <w:p w14:paraId="69115652" w14:textId="42A98CD4" w:rsidR="00535AE5" w:rsidRDefault="00535AE5" w:rsidP="00535AE5">
      <w:r>
        <w:t>The unclear near-far effect in NTN is further verified by the path loss value shown in Table 1. For instance, in an NTN with a height of 600km and a cell range of 200km, the difference of free space loss between the cell cent</w:t>
      </w:r>
      <w:r w:rsidR="002A031F">
        <w:t>re</w:t>
      </w:r>
      <w:r>
        <w:t xml:space="preserve"> and cell edge is only around 0.12dB. Considering a 3dB EIRP difference within a cell due to the antenna pattern, the overall differential signal power within a cell is around 3.12dB. Besides, the typical measured intra-frequency/inter-frequency RSRP accuracy requirements for FR1 under normal condition is </w:t>
      </w:r>
      <w:r>
        <w:rPr>
          <w:sz w:val="18"/>
          <w:szCs w:val="18"/>
        </w:rPr>
        <w:t>±</w:t>
      </w:r>
      <w:r>
        <w:t>4.5dB [</w:t>
      </w:r>
      <w:r w:rsidR="006F24FB">
        <w:t>1</w:t>
      </w:r>
      <w:r>
        <w:t xml:space="preserve">]. Therefore, it is very hard to distinguish where a UE is located in an NTN cell by pure received signal power based measurement. As such, cell boundary determination can be restricted to some extent or even ineffective sometimes. </w:t>
      </w:r>
    </w:p>
    <w:p w14:paraId="592977E1" w14:textId="77777777" w:rsidR="00535AE5" w:rsidRDefault="00535AE5" w:rsidP="00535AE5">
      <w:pPr>
        <w:jc w:val="center"/>
      </w:pPr>
      <w:r w:rsidRPr="00272370">
        <w:t xml:space="preserve">Table 1: </w:t>
      </w:r>
      <w:r>
        <w:t>Path loss in different network</w:t>
      </w:r>
      <w:r w:rsidRPr="00272370">
        <w:t xml:space="preserv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1088"/>
        <w:gridCol w:w="1050"/>
        <w:gridCol w:w="1050"/>
        <w:gridCol w:w="1594"/>
      </w:tblGrid>
      <w:tr w:rsidR="00535AE5" w:rsidRPr="00B35BD5" w14:paraId="5E9EA6BB" w14:textId="77777777" w:rsidTr="0007699F">
        <w:trPr>
          <w:cantSplit/>
          <w:jc w:val="center"/>
        </w:trPr>
        <w:tc>
          <w:tcPr>
            <w:tcW w:w="0" w:type="auto"/>
            <w:gridSpan w:val="2"/>
            <w:shd w:val="clear" w:color="auto" w:fill="auto"/>
            <w:vAlign w:val="center"/>
          </w:tcPr>
          <w:p w14:paraId="26E8E8C1" w14:textId="77777777" w:rsidR="00535AE5" w:rsidRDefault="00535AE5" w:rsidP="0007699F">
            <w:pPr>
              <w:spacing w:after="0"/>
              <w:jc w:val="center"/>
              <w:rPr>
                <w:rFonts w:eastAsia="Calibri"/>
              </w:rPr>
            </w:pPr>
            <w:r>
              <w:rPr>
                <w:rFonts w:eastAsia="Calibri"/>
              </w:rPr>
              <w:t>Scenarios</w:t>
            </w:r>
          </w:p>
        </w:tc>
        <w:tc>
          <w:tcPr>
            <w:tcW w:w="0" w:type="auto"/>
            <w:gridSpan w:val="2"/>
            <w:shd w:val="clear" w:color="auto" w:fill="auto"/>
            <w:vAlign w:val="center"/>
          </w:tcPr>
          <w:p w14:paraId="5035EACF" w14:textId="77777777" w:rsidR="00535AE5" w:rsidRDefault="00535AE5" w:rsidP="0007699F">
            <w:pPr>
              <w:spacing w:after="0"/>
              <w:jc w:val="center"/>
              <w:rPr>
                <w:rFonts w:eastAsia="Calibri"/>
              </w:rPr>
            </w:pPr>
            <w:r>
              <w:rPr>
                <w:rFonts w:eastAsia="Calibri"/>
              </w:rPr>
              <w:t>LEO based NTN</w:t>
            </w:r>
          </w:p>
        </w:tc>
        <w:tc>
          <w:tcPr>
            <w:tcW w:w="0" w:type="auto"/>
            <w:shd w:val="clear" w:color="auto" w:fill="auto"/>
            <w:vAlign w:val="center"/>
          </w:tcPr>
          <w:p w14:paraId="3F7DF7F7" w14:textId="77777777" w:rsidR="00535AE5" w:rsidRPr="00B35BD5" w:rsidRDefault="00535AE5" w:rsidP="0007699F">
            <w:pPr>
              <w:spacing w:after="0"/>
              <w:jc w:val="center"/>
              <w:rPr>
                <w:rFonts w:eastAsia="Calibri"/>
              </w:rPr>
            </w:pPr>
            <w:r>
              <w:rPr>
                <w:rFonts w:eastAsia="Calibri"/>
              </w:rPr>
              <w:t>GEO</w:t>
            </w:r>
            <w:r w:rsidRPr="00B35BD5">
              <w:rPr>
                <w:rFonts w:eastAsia="Calibri"/>
              </w:rPr>
              <w:t xml:space="preserve"> </w:t>
            </w:r>
            <w:r>
              <w:rPr>
                <w:rFonts w:eastAsia="Calibri"/>
              </w:rPr>
              <w:t>based NTN</w:t>
            </w:r>
          </w:p>
        </w:tc>
      </w:tr>
      <w:tr w:rsidR="00535AE5" w:rsidRPr="00B35BD5" w14:paraId="26F5D17D" w14:textId="77777777" w:rsidTr="0007699F">
        <w:trPr>
          <w:cantSplit/>
          <w:jc w:val="center"/>
        </w:trPr>
        <w:tc>
          <w:tcPr>
            <w:tcW w:w="0" w:type="auto"/>
            <w:gridSpan w:val="2"/>
            <w:shd w:val="clear" w:color="auto" w:fill="auto"/>
            <w:vAlign w:val="center"/>
          </w:tcPr>
          <w:p w14:paraId="076F3246" w14:textId="77777777" w:rsidR="00535AE5" w:rsidRDefault="00535AE5" w:rsidP="0007699F">
            <w:pPr>
              <w:spacing w:after="0"/>
              <w:jc w:val="center"/>
              <w:rPr>
                <w:rFonts w:eastAsia="Calibri"/>
              </w:rPr>
            </w:pPr>
            <w:r>
              <w:rPr>
                <w:rFonts w:eastAsia="Calibri"/>
              </w:rPr>
              <w:t>Altitude</w:t>
            </w:r>
          </w:p>
        </w:tc>
        <w:tc>
          <w:tcPr>
            <w:tcW w:w="0" w:type="auto"/>
            <w:shd w:val="clear" w:color="auto" w:fill="auto"/>
            <w:vAlign w:val="center"/>
          </w:tcPr>
          <w:p w14:paraId="4FE84ED7" w14:textId="77777777" w:rsidR="00535AE5" w:rsidRPr="00B35BD5" w:rsidRDefault="00535AE5" w:rsidP="0007699F">
            <w:pPr>
              <w:spacing w:after="0"/>
              <w:jc w:val="center"/>
              <w:rPr>
                <w:rFonts w:eastAsia="Calibri"/>
              </w:rPr>
            </w:pPr>
            <w:r>
              <w:rPr>
                <w:rFonts w:eastAsia="Calibri"/>
              </w:rPr>
              <w:t>600 km</w:t>
            </w:r>
          </w:p>
        </w:tc>
        <w:tc>
          <w:tcPr>
            <w:tcW w:w="0" w:type="auto"/>
          </w:tcPr>
          <w:p w14:paraId="1E257CC7" w14:textId="77777777" w:rsidR="00535AE5" w:rsidRPr="00B35BD5" w:rsidRDefault="00535AE5" w:rsidP="0007699F">
            <w:pPr>
              <w:spacing w:after="0"/>
              <w:jc w:val="center"/>
              <w:rPr>
                <w:rFonts w:eastAsia="Calibri"/>
              </w:rPr>
            </w:pPr>
            <w:r>
              <w:rPr>
                <w:rFonts w:eastAsia="Calibri"/>
              </w:rPr>
              <w:t>1200 km</w:t>
            </w:r>
          </w:p>
        </w:tc>
        <w:tc>
          <w:tcPr>
            <w:tcW w:w="0" w:type="auto"/>
            <w:shd w:val="clear" w:color="auto" w:fill="auto"/>
            <w:vAlign w:val="center"/>
          </w:tcPr>
          <w:p w14:paraId="1F309CA3" w14:textId="77777777" w:rsidR="00535AE5" w:rsidRPr="00B35BD5" w:rsidRDefault="00535AE5" w:rsidP="0007699F">
            <w:pPr>
              <w:spacing w:after="0"/>
              <w:jc w:val="center"/>
              <w:rPr>
                <w:rFonts w:eastAsia="Calibri"/>
              </w:rPr>
            </w:pPr>
            <w:r>
              <w:rPr>
                <w:rFonts w:eastAsia="Calibri"/>
              </w:rPr>
              <w:t>35</w:t>
            </w:r>
            <w:r w:rsidRPr="00B35BD5">
              <w:rPr>
                <w:rFonts w:eastAsia="Calibri"/>
              </w:rPr>
              <w:t>786 km</w:t>
            </w:r>
          </w:p>
        </w:tc>
      </w:tr>
      <w:tr w:rsidR="00535AE5" w:rsidRPr="00B35BD5" w14:paraId="1C1B2AF5" w14:textId="77777777" w:rsidTr="0007699F">
        <w:trPr>
          <w:cantSplit/>
          <w:jc w:val="center"/>
        </w:trPr>
        <w:tc>
          <w:tcPr>
            <w:tcW w:w="0" w:type="auto"/>
            <w:gridSpan w:val="2"/>
            <w:shd w:val="clear" w:color="auto" w:fill="auto"/>
            <w:vAlign w:val="center"/>
          </w:tcPr>
          <w:p w14:paraId="3F726BB2" w14:textId="77777777" w:rsidR="00535AE5" w:rsidRDefault="00535AE5" w:rsidP="0007699F">
            <w:pPr>
              <w:spacing w:after="0"/>
              <w:jc w:val="center"/>
              <w:rPr>
                <w:rFonts w:eastAsia="Calibri"/>
              </w:rPr>
            </w:pPr>
            <w:r>
              <w:rPr>
                <w:rFonts w:eastAsia="Calibri"/>
              </w:rPr>
              <w:t>Beam footprint size</w:t>
            </w:r>
          </w:p>
        </w:tc>
        <w:tc>
          <w:tcPr>
            <w:tcW w:w="0" w:type="auto"/>
            <w:shd w:val="clear" w:color="auto" w:fill="auto"/>
            <w:vAlign w:val="center"/>
          </w:tcPr>
          <w:p w14:paraId="239A69DA" w14:textId="77777777" w:rsidR="00535AE5" w:rsidRPr="00B35BD5" w:rsidRDefault="00535AE5" w:rsidP="0007699F">
            <w:pPr>
              <w:spacing w:after="0"/>
              <w:jc w:val="center"/>
              <w:rPr>
                <w:rFonts w:eastAsia="Calibri"/>
              </w:rPr>
            </w:pPr>
            <w:r>
              <w:rPr>
                <w:rFonts w:eastAsia="Calibri"/>
              </w:rPr>
              <w:t>200 km</w:t>
            </w:r>
          </w:p>
        </w:tc>
        <w:tc>
          <w:tcPr>
            <w:tcW w:w="0" w:type="auto"/>
          </w:tcPr>
          <w:p w14:paraId="75DB9008" w14:textId="77777777" w:rsidR="00535AE5" w:rsidRDefault="00535AE5" w:rsidP="0007699F">
            <w:pPr>
              <w:spacing w:after="0"/>
              <w:jc w:val="center"/>
              <w:rPr>
                <w:rFonts w:eastAsia="Calibri"/>
              </w:rPr>
            </w:pPr>
            <w:r>
              <w:rPr>
                <w:rFonts w:eastAsia="Calibri"/>
              </w:rPr>
              <w:t>200 km</w:t>
            </w:r>
          </w:p>
        </w:tc>
        <w:tc>
          <w:tcPr>
            <w:tcW w:w="0" w:type="auto"/>
            <w:shd w:val="clear" w:color="auto" w:fill="auto"/>
            <w:vAlign w:val="center"/>
          </w:tcPr>
          <w:p w14:paraId="033179D2" w14:textId="77777777" w:rsidR="00535AE5" w:rsidRPr="00B35BD5" w:rsidRDefault="00535AE5" w:rsidP="0007699F">
            <w:pPr>
              <w:spacing w:after="0"/>
              <w:jc w:val="center"/>
              <w:rPr>
                <w:rFonts w:eastAsia="Calibri"/>
              </w:rPr>
            </w:pPr>
            <w:r>
              <w:rPr>
                <w:rFonts w:eastAsia="Calibri"/>
              </w:rPr>
              <w:t>500 km</w:t>
            </w:r>
          </w:p>
        </w:tc>
      </w:tr>
      <w:tr w:rsidR="00535AE5" w:rsidRPr="00E43E89" w14:paraId="00D4D6AE" w14:textId="77777777" w:rsidTr="0007699F">
        <w:trPr>
          <w:cantSplit/>
          <w:jc w:val="center"/>
        </w:trPr>
        <w:tc>
          <w:tcPr>
            <w:tcW w:w="0" w:type="auto"/>
            <w:vMerge w:val="restart"/>
            <w:tcBorders>
              <w:top w:val="single" w:sz="4" w:space="0" w:color="auto"/>
              <w:left w:val="single" w:sz="4" w:space="0" w:color="auto"/>
              <w:right w:val="single" w:sz="4" w:space="0" w:color="auto"/>
            </w:tcBorders>
            <w:shd w:val="clear" w:color="auto" w:fill="auto"/>
            <w:vAlign w:val="center"/>
          </w:tcPr>
          <w:p w14:paraId="594BBF4A" w14:textId="77777777" w:rsidR="00535AE5" w:rsidRPr="00B35BD5" w:rsidRDefault="00535AE5" w:rsidP="0007699F">
            <w:pPr>
              <w:spacing w:after="0"/>
              <w:jc w:val="center"/>
              <w:rPr>
                <w:rFonts w:eastAsia="Calibri"/>
              </w:rPr>
            </w:pPr>
            <w:r>
              <w:rPr>
                <w:rFonts w:eastAsia="Calibri"/>
              </w:rPr>
              <w:t>Path loss</w:t>
            </w:r>
          </w:p>
        </w:tc>
        <w:tc>
          <w:tcPr>
            <w:tcW w:w="0" w:type="auto"/>
            <w:tcBorders>
              <w:top w:val="single" w:sz="4" w:space="0" w:color="auto"/>
              <w:left w:val="single" w:sz="4" w:space="0" w:color="auto"/>
              <w:bottom w:val="single" w:sz="4" w:space="0" w:color="auto"/>
              <w:right w:val="single" w:sz="4" w:space="0" w:color="auto"/>
            </w:tcBorders>
          </w:tcPr>
          <w:p w14:paraId="49F652E6" w14:textId="0D9C6C98" w:rsidR="00535AE5" w:rsidRDefault="007F2C20" w:rsidP="0007699F">
            <w:pPr>
              <w:spacing w:after="0"/>
              <w:jc w:val="center"/>
              <w:rPr>
                <w:rFonts w:eastAsia="Calibri"/>
              </w:rPr>
            </w:pPr>
            <w:r>
              <w:rPr>
                <w:rFonts w:eastAsia="Calibri"/>
              </w:rPr>
              <w:t>Cell centre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D7134E" w14:textId="77777777" w:rsidR="00535AE5" w:rsidRPr="00B35BD5" w:rsidRDefault="00535AE5" w:rsidP="0007699F">
            <w:pPr>
              <w:spacing w:after="0"/>
              <w:jc w:val="center"/>
              <w:rPr>
                <w:rFonts w:eastAsia="Calibri"/>
              </w:rPr>
            </w:pPr>
            <w:r>
              <w:rPr>
                <w:rFonts w:eastAsia="Calibri"/>
              </w:rPr>
              <w:t>154.05 dB</w:t>
            </w:r>
          </w:p>
        </w:tc>
        <w:tc>
          <w:tcPr>
            <w:tcW w:w="0" w:type="auto"/>
            <w:tcBorders>
              <w:top w:val="single" w:sz="4" w:space="0" w:color="auto"/>
              <w:left w:val="single" w:sz="4" w:space="0" w:color="auto"/>
              <w:bottom w:val="single" w:sz="4" w:space="0" w:color="auto"/>
              <w:right w:val="single" w:sz="4" w:space="0" w:color="auto"/>
            </w:tcBorders>
          </w:tcPr>
          <w:p w14:paraId="1B0C5155" w14:textId="77777777" w:rsidR="00535AE5" w:rsidRDefault="00535AE5" w:rsidP="0007699F">
            <w:pPr>
              <w:spacing w:after="0"/>
              <w:jc w:val="center"/>
              <w:rPr>
                <w:rFonts w:eastAsia="Calibri"/>
              </w:rPr>
            </w:pPr>
            <w:r>
              <w:rPr>
                <w:rFonts w:eastAsia="Calibri"/>
              </w:rPr>
              <w:t>160.05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98F3FC" w14:textId="77777777" w:rsidR="00535AE5" w:rsidRPr="00B35BD5" w:rsidRDefault="00535AE5" w:rsidP="0007699F">
            <w:pPr>
              <w:spacing w:after="0"/>
              <w:jc w:val="center"/>
              <w:rPr>
                <w:rFonts w:eastAsia="Calibri"/>
              </w:rPr>
            </w:pPr>
            <w:r>
              <w:rPr>
                <w:rFonts w:eastAsia="Calibri"/>
              </w:rPr>
              <w:t>206.74 dB</w:t>
            </w:r>
          </w:p>
        </w:tc>
      </w:tr>
      <w:tr w:rsidR="00535AE5" w:rsidRPr="00E43E89" w14:paraId="5B2F7121" w14:textId="77777777" w:rsidTr="0007699F">
        <w:trPr>
          <w:cantSplit/>
          <w:jc w:val="center"/>
        </w:trPr>
        <w:tc>
          <w:tcPr>
            <w:tcW w:w="0" w:type="auto"/>
            <w:vMerge/>
            <w:tcBorders>
              <w:left w:val="single" w:sz="4" w:space="0" w:color="auto"/>
              <w:bottom w:val="single" w:sz="4" w:space="0" w:color="auto"/>
              <w:right w:val="single" w:sz="4" w:space="0" w:color="auto"/>
            </w:tcBorders>
            <w:shd w:val="clear" w:color="auto" w:fill="auto"/>
            <w:vAlign w:val="center"/>
          </w:tcPr>
          <w:p w14:paraId="003C734F" w14:textId="77777777" w:rsidR="00535AE5" w:rsidRDefault="00535AE5" w:rsidP="0007699F">
            <w:pPr>
              <w:spacing w:after="0"/>
              <w:jc w:val="center"/>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2A20439E" w14:textId="77777777" w:rsidR="00535AE5" w:rsidRDefault="00535AE5" w:rsidP="0007699F">
            <w:pPr>
              <w:spacing w:after="0"/>
              <w:jc w:val="center"/>
              <w:rPr>
                <w:rFonts w:eastAsia="Calibri"/>
              </w:rPr>
            </w:pPr>
            <w:r>
              <w:rPr>
                <w:rFonts w:eastAsia="Calibri"/>
              </w:rPr>
              <w:t>Cell edge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CEBFEE" w14:textId="77777777" w:rsidR="00535AE5" w:rsidRDefault="00535AE5" w:rsidP="0007699F">
            <w:pPr>
              <w:spacing w:after="0"/>
              <w:jc w:val="center"/>
              <w:rPr>
                <w:rFonts w:eastAsia="Calibri"/>
              </w:rPr>
            </w:pPr>
            <w:r>
              <w:rPr>
                <w:rFonts w:eastAsia="Calibri"/>
              </w:rPr>
              <w:t>154.17 dB</w:t>
            </w:r>
          </w:p>
        </w:tc>
        <w:tc>
          <w:tcPr>
            <w:tcW w:w="0" w:type="auto"/>
            <w:tcBorders>
              <w:top w:val="single" w:sz="4" w:space="0" w:color="auto"/>
              <w:left w:val="single" w:sz="4" w:space="0" w:color="auto"/>
              <w:bottom w:val="single" w:sz="4" w:space="0" w:color="auto"/>
              <w:right w:val="single" w:sz="4" w:space="0" w:color="auto"/>
            </w:tcBorders>
          </w:tcPr>
          <w:p w14:paraId="40A5CC07" w14:textId="77777777" w:rsidR="00535AE5" w:rsidRDefault="00535AE5" w:rsidP="0007699F">
            <w:pPr>
              <w:spacing w:after="0"/>
              <w:jc w:val="center"/>
              <w:rPr>
                <w:rFonts w:eastAsia="Calibri"/>
              </w:rPr>
            </w:pPr>
            <w:r>
              <w:rPr>
                <w:rFonts w:eastAsia="Calibri"/>
              </w:rPr>
              <w:t>160.09 dB</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90F5B8" w14:textId="77777777" w:rsidR="00535AE5" w:rsidRDefault="00535AE5" w:rsidP="0007699F">
            <w:pPr>
              <w:spacing w:after="0"/>
              <w:jc w:val="center"/>
              <w:rPr>
                <w:rFonts w:eastAsia="Calibri"/>
              </w:rPr>
            </w:pPr>
            <w:r>
              <w:rPr>
                <w:rFonts w:eastAsia="Calibri"/>
              </w:rPr>
              <w:t>206.75 dB</w:t>
            </w:r>
          </w:p>
        </w:tc>
      </w:tr>
    </w:tbl>
    <w:p w14:paraId="537CCF8B" w14:textId="621F14B1" w:rsidR="00C671C1" w:rsidRDefault="00C671C1" w:rsidP="00535AE5">
      <w:pPr>
        <w:rPr>
          <w:b/>
          <w:lang w:eastAsia="zh-CN"/>
        </w:rPr>
      </w:pPr>
      <w:r>
        <w:rPr>
          <w:rFonts w:hint="eastAsia"/>
          <w:b/>
          <w:lang w:eastAsia="zh-CN"/>
        </w:rPr>
        <w:lastRenderedPageBreak/>
        <w:t xml:space="preserve">Observation 1: </w:t>
      </w:r>
      <w:r w:rsidR="006F24FB">
        <w:rPr>
          <w:b/>
          <w:lang w:eastAsia="zh-CN"/>
        </w:rPr>
        <w:t>t</w:t>
      </w:r>
      <w:r w:rsidRPr="00C671C1">
        <w:rPr>
          <w:b/>
          <w:lang w:eastAsia="zh-CN"/>
        </w:rPr>
        <w:t>he near-far effect is not clearly exhibited in NTN compared with terrestrial network</w:t>
      </w:r>
      <w:r>
        <w:rPr>
          <w:b/>
          <w:lang w:eastAsia="zh-CN"/>
        </w:rPr>
        <w:t>.</w:t>
      </w:r>
    </w:p>
    <w:p w14:paraId="5A5741EF" w14:textId="15FFEAFB" w:rsidR="00C671C1" w:rsidRPr="00C671C1" w:rsidRDefault="00C671C1" w:rsidP="00535AE5">
      <w:pPr>
        <w:rPr>
          <w:lang w:eastAsia="zh-CN"/>
        </w:rPr>
      </w:pPr>
      <w:r>
        <w:rPr>
          <w:lang w:eastAsia="zh-CN"/>
        </w:rPr>
        <w:t xml:space="preserve">The current handover mechanism is based on the A3 measurement event. Generally, 3dB is needed for target cell to be higher than source </w:t>
      </w:r>
      <w:proofErr w:type="spellStart"/>
      <w:r>
        <w:rPr>
          <w:lang w:eastAsia="zh-CN"/>
        </w:rPr>
        <w:t>gNB</w:t>
      </w:r>
      <w:proofErr w:type="spellEnd"/>
      <w:r>
        <w:rPr>
          <w:lang w:eastAsia="zh-CN"/>
        </w:rPr>
        <w:t xml:space="preserve">. In terrestrial networks, A3 event could be triggered in overlapping area of two cells during UE moving to the target </w:t>
      </w:r>
      <w:proofErr w:type="spellStart"/>
      <w:r>
        <w:rPr>
          <w:lang w:eastAsia="zh-CN"/>
        </w:rPr>
        <w:t>gNB</w:t>
      </w:r>
      <w:proofErr w:type="spellEnd"/>
      <w:r>
        <w:rPr>
          <w:lang w:eastAsia="zh-CN"/>
        </w:rPr>
        <w:t xml:space="preserve"> </w:t>
      </w:r>
      <w:r w:rsidR="00A95BA7">
        <w:rPr>
          <w:lang w:eastAsia="zh-CN"/>
        </w:rPr>
        <w:t xml:space="preserve">like Figure 2(a). However, it is difficult to trigger A3 event in overlapping area of two cells due to the lack of </w:t>
      </w:r>
      <w:r w:rsidR="006F24FB">
        <w:rPr>
          <w:lang w:eastAsia="zh-CN"/>
        </w:rPr>
        <w:t xml:space="preserve">clear </w:t>
      </w:r>
      <w:r w:rsidR="00A95BA7">
        <w:rPr>
          <w:lang w:eastAsia="zh-CN"/>
        </w:rPr>
        <w:t xml:space="preserve">near-far effect </w:t>
      </w:r>
      <w:r w:rsidR="006F24FB">
        <w:rPr>
          <w:lang w:eastAsia="zh-CN"/>
        </w:rPr>
        <w:t xml:space="preserve">in NTN </w:t>
      </w:r>
      <w:r w:rsidR="00A95BA7">
        <w:rPr>
          <w:lang w:eastAsia="zh-CN"/>
        </w:rPr>
        <w:t xml:space="preserve">like Figure 2(a). That means that </w:t>
      </w:r>
      <w:r w:rsidR="00A61998">
        <w:rPr>
          <w:lang w:eastAsia="zh-CN"/>
        </w:rPr>
        <w:t>A3</w:t>
      </w:r>
      <w:r w:rsidR="00A95BA7">
        <w:rPr>
          <w:lang w:eastAsia="zh-CN"/>
        </w:rPr>
        <w:t xml:space="preserve"> </w:t>
      </w:r>
      <w:r w:rsidR="00A61998">
        <w:rPr>
          <w:lang w:eastAsia="zh-CN"/>
        </w:rPr>
        <w:t>event</w:t>
      </w:r>
      <w:r w:rsidR="00A95BA7">
        <w:rPr>
          <w:lang w:eastAsia="zh-CN"/>
        </w:rPr>
        <w:t xml:space="preserve"> based handover is difficult to be triggered in overlapping area of two cells. </w:t>
      </w:r>
    </w:p>
    <w:p w14:paraId="3A7E2569" w14:textId="6937C598" w:rsidR="00535AE5" w:rsidRPr="00EA022F" w:rsidRDefault="00EA022F" w:rsidP="00535AE5">
      <w:pPr>
        <w:rPr>
          <w:b/>
          <w:lang w:eastAsia="zh-CN"/>
        </w:rPr>
      </w:pPr>
      <w:r w:rsidRPr="00EA022F">
        <w:rPr>
          <w:rFonts w:hint="eastAsia"/>
          <w:b/>
          <w:lang w:eastAsia="zh-CN"/>
        </w:rPr>
        <w:t xml:space="preserve">Observation </w:t>
      </w:r>
      <w:r w:rsidR="00A95BA7">
        <w:rPr>
          <w:b/>
          <w:lang w:eastAsia="zh-CN"/>
        </w:rPr>
        <w:t>2</w:t>
      </w:r>
      <w:r w:rsidRPr="00EA022F">
        <w:rPr>
          <w:rFonts w:hint="eastAsia"/>
          <w:b/>
          <w:lang w:eastAsia="zh-CN"/>
        </w:rPr>
        <w:t xml:space="preserve">: </w:t>
      </w:r>
      <w:r w:rsidR="00A5167F">
        <w:rPr>
          <w:b/>
          <w:lang w:eastAsia="zh-CN"/>
        </w:rPr>
        <w:t>A3 event</w:t>
      </w:r>
      <w:r w:rsidR="00A95BA7" w:rsidRPr="00A95BA7">
        <w:rPr>
          <w:b/>
          <w:lang w:eastAsia="zh-CN"/>
        </w:rPr>
        <w:t xml:space="preserve"> based handover is difficult to be triggered in overlapping area of two cells</w:t>
      </w:r>
      <w:r w:rsidR="00A5167F">
        <w:rPr>
          <w:b/>
          <w:lang w:eastAsia="zh-CN"/>
        </w:rPr>
        <w:t xml:space="preserve"> in NTN</w:t>
      </w:r>
      <w:r w:rsidRPr="00EA022F">
        <w:rPr>
          <w:b/>
          <w:lang w:eastAsia="zh-CN"/>
        </w:rPr>
        <w:t>.</w:t>
      </w:r>
    </w:p>
    <w:p w14:paraId="3B2DFF3C" w14:textId="77777777" w:rsidR="00A95BA7" w:rsidRDefault="00C671C1" w:rsidP="00A95BA7">
      <w:pPr>
        <w:keepNext/>
      </w:pPr>
      <w:r>
        <w:object w:dxaOrig="10290" w:dyaOrig="11355" w14:anchorId="50FA098E">
          <v:shape id="_x0000_i1026" type="#_x0000_t75" style="width:481.65pt;height:531.35pt" o:ole="">
            <v:imagedata r:id="rId10" o:title=""/>
          </v:shape>
          <o:OLEObject Type="Embed" ProgID="Visio.Drawing.15" ShapeID="_x0000_i1026" DrawAspect="Content" ObjectID="_1615311491" r:id="rId11"/>
        </w:object>
      </w:r>
    </w:p>
    <w:p w14:paraId="2B18B885" w14:textId="71C40AB6" w:rsidR="00EA022F" w:rsidRPr="006F24FB" w:rsidRDefault="00A95BA7" w:rsidP="006F24FB">
      <w:pPr>
        <w:pStyle w:val="ab"/>
        <w:jc w:val="center"/>
      </w:pPr>
      <w:r>
        <w:t xml:space="preserve">Figure </w:t>
      </w:r>
      <w:r>
        <w:fldChar w:fldCharType="begin"/>
      </w:r>
      <w:r>
        <w:instrText xml:space="preserve"> SEQ Figure \* ARABIC </w:instrText>
      </w:r>
      <w:r>
        <w:fldChar w:fldCharType="separate"/>
      </w:r>
      <w:r>
        <w:rPr>
          <w:noProof/>
        </w:rPr>
        <w:t>1</w:t>
      </w:r>
      <w:r>
        <w:fldChar w:fldCharType="end"/>
      </w:r>
      <w:r>
        <w:t xml:space="preserve"> A sketch of triggering handover in different scenarios: a) terrestrial network; b) NTN</w:t>
      </w:r>
    </w:p>
    <w:p w14:paraId="4AA7E0C5" w14:textId="406C05CF" w:rsidR="006F24FB" w:rsidRDefault="00A95BA7" w:rsidP="00535AE5">
      <w:pPr>
        <w:rPr>
          <w:lang w:eastAsia="zh-CN"/>
        </w:rPr>
      </w:pPr>
      <w:r>
        <w:rPr>
          <w:rFonts w:hint="eastAsia"/>
          <w:lang w:eastAsia="zh-CN"/>
        </w:rPr>
        <w:t xml:space="preserve">According to </w:t>
      </w:r>
      <w:r>
        <w:rPr>
          <w:lang w:eastAsia="zh-CN"/>
        </w:rPr>
        <w:t xml:space="preserve">observation 2, </w:t>
      </w:r>
      <w:r w:rsidR="00A5167F">
        <w:rPr>
          <w:lang w:eastAsia="zh-CN"/>
        </w:rPr>
        <w:t xml:space="preserve">it is not suitable to continue to use A3 event as trigger condition of handover. </w:t>
      </w:r>
      <w:r w:rsidR="006F24FB">
        <w:rPr>
          <w:lang w:eastAsia="zh-CN"/>
        </w:rPr>
        <w:t xml:space="preserve">One possible solution is to design a new measurement event to trigger handover. Another possible solution is to introduce new </w:t>
      </w:r>
      <w:r w:rsidR="006F24FB">
        <w:rPr>
          <w:lang w:eastAsia="zh-CN"/>
        </w:rPr>
        <w:lastRenderedPageBreak/>
        <w:t>handover decision mechanism. For example, network could decide whether to trigger handover based on UE’s location and the footprint track of satellite. In a word, a new handover trigger mechanism should be study for NTN.</w:t>
      </w:r>
    </w:p>
    <w:p w14:paraId="421C7E5A" w14:textId="22801250" w:rsidR="00EB31FE" w:rsidRPr="006F24FB" w:rsidRDefault="006F24FB" w:rsidP="00B37172">
      <w:pPr>
        <w:rPr>
          <w:b/>
          <w:lang w:eastAsia="zh-CN"/>
        </w:rPr>
      </w:pPr>
      <w:r w:rsidRPr="006F24FB">
        <w:rPr>
          <w:b/>
          <w:lang w:eastAsia="zh-CN"/>
        </w:rPr>
        <w:t xml:space="preserve">Proposal: a new handover trigger mechanism </w:t>
      </w:r>
      <w:r w:rsidR="00FD02B6">
        <w:rPr>
          <w:b/>
          <w:lang w:eastAsia="zh-CN"/>
        </w:rPr>
        <w:t>can</w:t>
      </w:r>
      <w:r w:rsidRPr="006F24FB">
        <w:rPr>
          <w:b/>
          <w:lang w:eastAsia="zh-CN"/>
        </w:rPr>
        <w:t xml:space="preserve"> be stud</w:t>
      </w:r>
      <w:r w:rsidR="00FD02B6">
        <w:rPr>
          <w:b/>
          <w:lang w:eastAsia="zh-CN"/>
        </w:rPr>
        <w:t>ied</w:t>
      </w:r>
      <w:r w:rsidRPr="006F24FB">
        <w:rPr>
          <w:b/>
          <w:lang w:eastAsia="zh-CN"/>
        </w:rPr>
        <w:t xml:space="preserve"> for NTN.</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3CE0DA31" w:rsidR="003E252C" w:rsidRDefault="00035A70" w:rsidP="003E252C">
      <w:pPr>
        <w:rPr>
          <w:lang w:val="en-US" w:eastAsia="zh-CN"/>
        </w:rPr>
      </w:pPr>
      <w:r>
        <w:rPr>
          <w:rFonts w:hint="eastAsia"/>
          <w:lang w:val="en-US" w:eastAsia="zh-CN"/>
        </w:rPr>
        <w:t xml:space="preserve">In this contribution, we </w:t>
      </w:r>
      <w:r w:rsidR="006F24FB">
        <w:rPr>
          <w:lang w:val="en-US" w:eastAsia="zh-CN"/>
        </w:rPr>
        <w:t>discussed cell measurement in NTN</w:t>
      </w:r>
      <w:r w:rsidR="00964241">
        <w:rPr>
          <w:lang w:val="en-US" w:eastAsia="zh-CN"/>
        </w:rPr>
        <w:t xml:space="preserve">, and </w:t>
      </w:r>
      <w:r>
        <w:rPr>
          <w:rFonts w:hint="eastAsia"/>
          <w:lang w:val="en-US" w:eastAsia="zh-CN"/>
        </w:rPr>
        <w:t xml:space="preserve">we get the following </w:t>
      </w:r>
      <w:r w:rsidR="0067313F">
        <w:rPr>
          <w:lang w:val="en-US" w:eastAsia="zh-CN"/>
        </w:rPr>
        <w:t>proposal</w:t>
      </w:r>
      <w:r w:rsidR="00E44657">
        <w:rPr>
          <w:lang w:val="en-US" w:eastAsia="zh-CN"/>
        </w:rPr>
        <w:t>s</w:t>
      </w:r>
      <w:r>
        <w:rPr>
          <w:rFonts w:hint="eastAsia"/>
          <w:lang w:val="en-US" w:eastAsia="zh-CN"/>
        </w:rPr>
        <w:t>:</w:t>
      </w:r>
    </w:p>
    <w:bookmarkEnd w:id="2"/>
    <w:p w14:paraId="16903E85" w14:textId="77777777" w:rsidR="006F24FB" w:rsidRDefault="006F24FB" w:rsidP="006F24FB">
      <w:pPr>
        <w:rPr>
          <w:b/>
          <w:lang w:eastAsia="zh-CN"/>
        </w:rPr>
      </w:pPr>
      <w:r>
        <w:rPr>
          <w:rFonts w:hint="eastAsia"/>
          <w:b/>
          <w:lang w:eastAsia="zh-CN"/>
        </w:rPr>
        <w:t xml:space="preserve">Observation 1: </w:t>
      </w:r>
      <w:r>
        <w:rPr>
          <w:b/>
          <w:lang w:eastAsia="zh-CN"/>
        </w:rPr>
        <w:t>t</w:t>
      </w:r>
      <w:r w:rsidRPr="00C671C1">
        <w:rPr>
          <w:b/>
          <w:lang w:eastAsia="zh-CN"/>
        </w:rPr>
        <w:t>he near-far effect is not clearly exhibited in NTN compared with terrestrial network</w:t>
      </w:r>
      <w:r>
        <w:rPr>
          <w:b/>
          <w:lang w:eastAsia="zh-CN"/>
        </w:rPr>
        <w:t>.</w:t>
      </w:r>
    </w:p>
    <w:p w14:paraId="44B04B64" w14:textId="3A4926C7" w:rsidR="006F24FB" w:rsidRPr="00EA022F" w:rsidRDefault="006F24FB" w:rsidP="006F24FB">
      <w:pPr>
        <w:rPr>
          <w:b/>
          <w:lang w:eastAsia="zh-CN"/>
        </w:rPr>
      </w:pPr>
      <w:r w:rsidRPr="00EA022F">
        <w:rPr>
          <w:rFonts w:hint="eastAsia"/>
          <w:b/>
          <w:lang w:eastAsia="zh-CN"/>
        </w:rPr>
        <w:t xml:space="preserve">Observation </w:t>
      </w:r>
      <w:r>
        <w:rPr>
          <w:b/>
          <w:lang w:eastAsia="zh-CN"/>
        </w:rPr>
        <w:t>2</w:t>
      </w:r>
      <w:r w:rsidRPr="00EA022F">
        <w:rPr>
          <w:rFonts w:hint="eastAsia"/>
          <w:b/>
          <w:lang w:eastAsia="zh-CN"/>
        </w:rPr>
        <w:t xml:space="preserve">: </w:t>
      </w:r>
      <w:r>
        <w:rPr>
          <w:b/>
          <w:lang w:eastAsia="zh-CN"/>
        </w:rPr>
        <w:t>A3 event</w:t>
      </w:r>
      <w:r w:rsidRPr="00A95BA7">
        <w:rPr>
          <w:b/>
          <w:lang w:eastAsia="zh-CN"/>
        </w:rPr>
        <w:t xml:space="preserve"> based handover is difficult to be triggered in overlapping area of two cells</w:t>
      </w:r>
      <w:r>
        <w:rPr>
          <w:b/>
          <w:lang w:eastAsia="zh-CN"/>
        </w:rPr>
        <w:t xml:space="preserve"> in NTN</w:t>
      </w:r>
      <w:r w:rsidRPr="00EA022F">
        <w:rPr>
          <w:b/>
          <w:lang w:eastAsia="zh-CN"/>
        </w:rPr>
        <w:t>.</w:t>
      </w:r>
    </w:p>
    <w:p w14:paraId="3ADCE75A" w14:textId="341CAC28" w:rsidR="008C0B8F" w:rsidRPr="006F24FB" w:rsidRDefault="006F24FB" w:rsidP="008C0B8F">
      <w:pPr>
        <w:rPr>
          <w:b/>
          <w:lang w:eastAsia="zh-CN"/>
        </w:rPr>
      </w:pPr>
      <w:r w:rsidRPr="006F24FB">
        <w:rPr>
          <w:b/>
          <w:lang w:eastAsia="zh-CN"/>
        </w:rPr>
        <w:t xml:space="preserve">Proposal: a new handover trigger mechanism </w:t>
      </w:r>
      <w:r w:rsidR="00FD02B6">
        <w:rPr>
          <w:b/>
          <w:lang w:eastAsia="zh-CN"/>
        </w:rPr>
        <w:t>can</w:t>
      </w:r>
      <w:r w:rsidR="00FD02B6" w:rsidRPr="006F24FB">
        <w:rPr>
          <w:b/>
          <w:lang w:eastAsia="zh-CN"/>
        </w:rPr>
        <w:t xml:space="preserve"> be stud</w:t>
      </w:r>
      <w:r w:rsidR="00FD02B6">
        <w:rPr>
          <w:b/>
          <w:lang w:eastAsia="zh-CN"/>
        </w:rPr>
        <w:t>ied</w:t>
      </w:r>
      <w:r w:rsidRPr="006F24FB">
        <w:rPr>
          <w:b/>
          <w:lang w:eastAsia="zh-CN"/>
        </w:rPr>
        <w:t xml:space="preserve"> for NTN.</w:t>
      </w:r>
    </w:p>
    <w:p w14:paraId="34E976D5" w14:textId="77777777" w:rsidR="00866525" w:rsidRDefault="00866525" w:rsidP="00866525">
      <w:pPr>
        <w:pStyle w:val="1"/>
        <w:rPr>
          <w:lang w:eastAsia="zh-CN"/>
        </w:rPr>
      </w:pPr>
      <w:r>
        <w:rPr>
          <w:rFonts w:hint="eastAsia"/>
          <w:lang w:eastAsia="zh-CN"/>
        </w:rPr>
        <w:t>References</w:t>
      </w:r>
    </w:p>
    <w:p w14:paraId="11D163B5" w14:textId="7968AA62" w:rsidR="00E16156" w:rsidRDefault="00E16156" w:rsidP="00E16156">
      <w:pPr>
        <w:rPr>
          <w:lang w:eastAsia="zh-CN"/>
        </w:rPr>
      </w:pPr>
      <w:r>
        <w:rPr>
          <w:lang w:eastAsia="zh-CN"/>
        </w:rPr>
        <w:t>[</w:t>
      </w:r>
      <w:r w:rsidR="00525CD5">
        <w:rPr>
          <w:lang w:eastAsia="zh-CN"/>
        </w:rPr>
        <w:t>1</w:t>
      </w:r>
      <w:r w:rsidR="00F47C6B">
        <w:rPr>
          <w:lang w:eastAsia="zh-CN"/>
        </w:rPr>
        <w:t xml:space="preserve">] </w:t>
      </w:r>
      <w:r w:rsidR="006F24FB" w:rsidRPr="006F24FB">
        <w:rPr>
          <w:lang w:eastAsia="zh-CN"/>
        </w:rPr>
        <w:t>TS 38.133 V15.4.0, “Requirements for support of radio resource management”.</w:t>
      </w:r>
    </w:p>
    <w:p w14:paraId="28EAD41F" w14:textId="77777777" w:rsidR="00E16156" w:rsidRPr="006F24FB" w:rsidRDefault="00E16156" w:rsidP="00E16156">
      <w:pPr>
        <w:rPr>
          <w:lang w:eastAsia="zh-CN"/>
        </w:rPr>
      </w:pPr>
    </w:p>
    <w:sectPr w:rsidR="00E16156" w:rsidRPr="006F24FB" w:rsidSect="00676875">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2E4E3F" w14:textId="77777777" w:rsidR="00E936C2" w:rsidRDefault="00E936C2">
      <w:pPr>
        <w:spacing w:after="0"/>
      </w:pPr>
      <w:r>
        <w:separator/>
      </w:r>
    </w:p>
  </w:endnote>
  <w:endnote w:type="continuationSeparator" w:id="0">
    <w:p w14:paraId="3C8BD22A" w14:textId="77777777" w:rsidR="00E936C2" w:rsidRDefault="00E936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B29A1" w14:textId="77777777" w:rsidR="00E936C2" w:rsidRDefault="00E936C2">
      <w:pPr>
        <w:spacing w:after="0"/>
      </w:pPr>
      <w:r>
        <w:separator/>
      </w:r>
    </w:p>
  </w:footnote>
  <w:footnote w:type="continuationSeparator" w:id="0">
    <w:p w14:paraId="3B653AA3" w14:textId="77777777" w:rsidR="00E936C2" w:rsidRDefault="00E936C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44BB9"/>
    <w:multiLevelType w:val="hybridMultilevel"/>
    <w:tmpl w:val="9ABE1AC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DC58AC1C"/>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4D2F44"/>
    <w:multiLevelType w:val="hybridMultilevel"/>
    <w:tmpl w:val="84C4C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CF532CA"/>
    <w:multiLevelType w:val="hybridMultilevel"/>
    <w:tmpl w:val="35009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4" w15:restartNumberingAfterBreak="0">
    <w:nsid w:val="47A12DFD"/>
    <w:multiLevelType w:val="hybridMultilevel"/>
    <w:tmpl w:val="EC263314"/>
    <w:lvl w:ilvl="0" w:tplc="63F2CB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CE2AE3"/>
    <w:multiLevelType w:val="hybridMultilevel"/>
    <w:tmpl w:val="0382EDB0"/>
    <w:lvl w:ilvl="0" w:tplc="8ED4D47C">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8"/>
  </w:num>
  <w:num w:numId="3">
    <w:abstractNumId w:val="9"/>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1"/>
  </w:num>
  <w:num w:numId="8">
    <w:abstractNumId w:val="16"/>
  </w:num>
  <w:num w:numId="9">
    <w:abstractNumId w:val="17"/>
  </w:num>
  <w:num w:numId="10">
    <w:abstractNumId w:val="13"/>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2"/>
  </w:num>
  <w:num w:numId="14">
    <w:abstractNumId w:val="6"/>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10"/>
  </w:num>
  <w:num w:numId="19">
    <w:abstractNumId w:val="23"/>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18"/>
  </w:num>
  <w:num w:numId="26">
    <w:abstractNumId w:val="14"/>
  </w:num>
  <w:num w:numId="27">
    <w:abstractNumId w:val="1"/>
  </w:num>
  <w:num w:numId="28">
    <w:abstractNumId w:val="12"/>
  </w:num>
  <w:num w:numId="29">
    <w:abstractNumId w:val="21"/>
  </w:num>
  <w:num w:numId="3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93"/>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26907"/>
    <w:rsid w:val="00027B88"/>
    <w:rsid w:val="00035740"/>
    <w:rsid w:val="00035A70"/>
    <w:rsid w:val="00057506"/>
    <w:rsid w:val="00062C81"/>
    <w:rsid w:val="00070A2C"/>
    <w:rsid w:val="0007380E"/>
    <w:rsid w:val="000960E9"/>
    <w:rsid w:val="00097277"/>
    <w:rsid w:val="000A0202"/>
    <w:rsid w:val="000A0D9A"/>
    <w:rsid w:val="000B45F5"/>
    <w:rsid w:val="000B55BA"/>
    <w:rsid w:val="000C6C7A"/>
    <w:rsid w:val="000D2123"/>
    <w:rsid w:val="000D4314"/>
    <w:rsid w:val="000D4602"/>
    <w:rsid w:val="000F5C43"/>
    <w:rsid w:val="001036D0"/>
    <w:rsid w:val="00103AD0"/>
    <w:rsid w:val="00124F07"/>
    <w:rsid w:val="00131E9B"/>
    <w:rsid w:val="00132638"/>
    <w:rsid w:val="00141503"/>
    <w:rsid w:val="00142078"/>
    <w:rsid w:val="00144F4E"/>
    <w:rsid w:val="00147254"/>
    <w:rsid w:val="001526DB"/>
    <w:rsid w:val="001569EF"/>
    <w:rsid w:val="00157A0C"/>
    <w:rsid w:val="00157B7E"/>
    <w:rsid w:val="0017214A"/>
    <w:rsid w:val="00172730"/>
    <w:rsid w:val="00172ACB"/>
    <w:rsid w:val="00181168"/>
    <w:rsid w:val="001A3AB7"/>
    <w:rsid w:val="001A4E52"/>
    <w:rsid w:val="001B4DEC"/>
    <w:rsid w:val="001D31BA"/>
    <w:rsid w:val="001E25F5"/>
    <w:rsid w:val="001F2026"/>
    <w:rsid w:val="001F351F"/>
    <w:rsid w:val="001F41CD"/>
    <w:rsid w:val="001F5DC0"/>
    <w:rsid w:val="001F5E80"/>
    <w:rsid w:val="00205835"/>
    <w:rsid w:val="00223C39"/>
    <w:rsid w:val="0022502A"/>
    <w:rsid w:val="00227115"/>
    <w:rsid w:val="00230C71"/>
    <w:rsid w:val="00230D22"/>
    <w:rsid w:val="002377EE"/>
    <w:rsid w:val="00240E1B"/>
    <w:rsid w:val="002506FF"/>
    <w:rsid w:val="00254D66"/>
    <w:rsid w:val="00261699"/>
    <w:rsid w:val="002667D7"/>
    <w:rsid w:val="002775B0"/>
    <w:rsid w:val="0028489E"/>
    <w:rsid w:val="00285EBB"/>
    <w:rsid w:val="002A031F"/>
    <w:rsid w:val="002A3E99"/>
    <w:rsid w:val="002A555A"/>
    <w:rsid w:val="002B4AC6"/>
    <w:rsid w:val="002C3ECF"/>
    <w:rsid w:val="002C658F"/>
    <w:rsid w:val="002C6C9C"/>
    <w:rsid w:val="002D1334"/>
    <w:rsid w:val="002D2571"/>
    <w:rsid w:val="002D6C91"/>
    <w:rsid w:val="002E2235"/>
    <w:rsid w:val="002F7095"/>
    <w:rsid w:val="003057E3"/>
    <w:rsid w:val="00306227"/>
    <w:rsid w:val="00316E15"/>
    <w:rsid w:val="003234BE"/>
    <w:rsid w:val="00344445"/>
    <w:rsid w:val="003469BF"/>
    <w:rsid w:val="00354E70"/>
    <w:rsid w:val="00356AEC"/>
    <w:rsid w:val="0036170E"/>
    <w:rsid w:val="00372854"/>
    <w:rsid w:val="00376B98"/>
    <w:rsid w:val="00380117"/>
    <w:rsid w:val="00383136"/>
    <w:rsid w:val="003849AD"/>
    <w:rsid w:val="00390673"/>
    <w:rsid w:val="00390952"/>
    <w:rsid w:val="003A35CE"/>
    <w:rsid w:val="003B3012"/>
    <w:rsid w:val="003B55A6"/>
    <w:rsid w:val="003C1102"/>
    <w:rsid w:val="003E02EE"/>
    <w:rsid w:val="003E252C"/>
    <w:rsid w:val="003E3F80"/>
    <w:rsid w:val="003F0538"/>
    <w:rsid w:val="003F1E34"/>
    <w:rsid w:val="003F35D5"/>
    <w:rsid w:val="003F3DF9"/>
    <w:rsid w:val="003F4F8E"/>
    <w:rsid w:val="003F54C2"/>
    <w:rsid w:val="003F629A"/>
    <w:rsid w:val="003F7B4D"/>
    <w:rsid w:val="0040645B"/>
    <w:rsid w:val="00415154"/>
    <w:rsid w:val="00416574"/>
    <w:rsid w:val="004267DA"/>
    <w:rsid w:val="00443C82"/>
    <w:rsid w:val="00446772"/>
    <w:rsid w:val="00455EC9"/>
    <w:rsid w:val="004613CF"/>
    <w:rsid w:val="004706A0"/>
    <w:rsid w:val="004B0955"/>
    <w:rsid w:val="004C2615"/>
    <w:rsid w:val="004D4988"/>
    <w:rsid w:val="004D70F1"/>
    <w:rsid w:val="004E0014"/>
    <w:rsid w:val="004F0207"/>
    <w:rsid w:val="00503128"/>
    <w:rsid w:val="00512345"/>
    <w:rsid w:val="00512DA2"/>
    <w:rsid w:val="00515F82"/>
    <w:rsid w:val="00516B3F"/>
    <w:rsid w:val="00525166"/>
    <w:rsid w:val="00525CD5"/>
    <w:rsid w:val="00532759"/>
    <w:rsid w:val="00535AE5"/>
    <w:rsid w:val="00540CAB"/>
    <w:rsid w:val="00540E48"/>
    <w:rsid w:val="0055756D"/>
    <w:rsid w:val="00565AAE"/>
    <w:rsid w:val="00567147"/>
    <w:rsid w:val="0057135F"/>
    <w:rsid w:val="00574477"/>
    <w:rsid w:val="005856BC"/>
    <w:rsid w:val="00594C12"/>
    <w:rsid w:val="005B748F"/>
    <w:rsid w:val="005C200E"/>
    <w:rsid w:val="005D647C"/>
    <w:rsid w:val="0060348F"/>
    <w:rsid w:val="00632C39"/>
    <w:rsid w:val="00634A09"/>
    <w:rsid w:val="00642666"/>
    <w:rsid w:val="006528E5"/>
    <w:rsid w:val="00655E69"/>
    <w:rsid w:val="0067313F"/>
    <w:rsid w:val="00676875"/>
    <w:rsid w:val="00683825"/>
    <w:rsid w:val="00686AD6"/>
    <w:rsid w:val="00690EFE"/>
    <w:rsid w:val="00693AAC"/>
    <w:rsid w:val="00693B1B"/>
    <w:rsid w:val="00694E54"/>
    <w:rsid w:val="006A0BAE"/>
    <w:rsid w:val="006A30A0"/>
    <w:rsid w:val="006B329C"/>
    <w:rsid w:val="006B5078"/>
    <w:rsid w:val="006B664F"/>
    <w:rsid w:val="006B6EC0"/>
    <w:rsid w:val="006C14FE"/>
    <w:rsid w:val="006C4087"/>
    <w:rsid w:val="006D1561"/>
    <w:rsid w:val="006D6323"/>
    <w:rsid w:val="006E51F0"/>
    <w:rsid w:val="006E63F1"/>
    <w:rsid w:val="006F24FB"/>
    <w:rsid w:val="00702F57"/>
    <w:rsid w:val="00707E37"/>
    <w:rsid w:val="00714224"/>
    <w:rsid w:val="007154F2"/>
    <w:rsid w:val="00731403"/>
    <w:rsid w:val="007402B8"/>
    <w:rsid w:val="00741578"/>
    <w:rsid w:val="00745024"/>
    <w:rsid w:val="00753BA1"/>
    <w:rsid w:val="00754CFA"/>
    <w:rsid w:val="007602C0"/>
    <w:rsid w:val="00761A63"/>
    <w:rsid w:val="00761C1E"/>
    <w:rsid w:val="00762BC2"/>
    <w:rsid w:val="00764656"/>
    <w:rsid w:val="007652EB"/>
    <w:rsid w:val="00774450"/>
    <w:rsid w:val="007756A5"/>
    <w:rsid w:val="00792A45"/>
    <w:rsid w:val="00797973"/>
    <w:rsid w:val="007A29C5"/>
    <w:rsid w:val="007A4B19"/>
    <w:rsid w:val="007B1A1D"/>
    <w:rsid w:val="007B4985"/>
    <w:rsid w:val="007B49BC"/>
    <w:rsid w:val="007E219D"/>
    <w:rsid w:val="007F2C20"/>
    <w:rsid w:val="007F6C73"/>
    <w:rsid w:val="00802814"/>
    <w:rsid w:val="0080301D"/>
    <w:rsid w:val="00804D38"/>
    <w:rsid w:val="00804E62"/>
    <w:rsid w:val="008159E6"/>
    <w:rsid w:val="008205A6"/>
    <w:rsid w:val="00824F33"/>
    <w:rsid w:val="00833975"/>
    <w:rsid w:val="008403FA"/>
    <w:rsid w:val="00841130"/>
    <w:rsid w:val="00847202"/>
    <w:rsid w:val="00866525"/>
    <w:rsid w:val="00867501"/>
    <w:rsid w:val="0087009F"/>
    <w:rsid w:val="00874490"/>
    <w:rsid w:val="008765A0"/>
    <w:rsid w:val="00880810"/>
    <w:rsid w:val="008A5018"/>
    <w:rsid w:val="008A5C81"/>
    <w:rsid w:val="008A6527"/>
    <w:rsid w:val="008C0B8F"/>
    <w:rsid w:val="008C0D0D"/>
    <w:rsid w:val="008C3B9C"/>
    <w:rsid w:val="008E0641"/>
    <w:rsid w:val="008E39CB"/>
    <w:rsid w:val="008E7896"/>
    <w:rsid w:val="00900026"/>
    <w:rsid w:val="00906EC6"/>
    <w:rsid w:val="00915A64"/>
    <w:rsid w:val="0092156C"/>
    <w:rsid w:val="00922133"/>
    <w:rsid w:val="00923947"/>
    <w:rsid w:val="0093501D"/>
    <w:rsid w:val="00945976"/>
    <w:rsid w:val="009474D8"/>
    <w:rsid w:val="009508B4"/>
    <w:rsid w:val="00963793"/>
    <w:rsid w:val="00964241"/>
    <w:rsid w:val="00964F0F"/>
    <w:rsid w:val="0099009B"/>
    <w:rsid w:val="009A44D3"/>
    <w:rsid w:val="009A57AC"/>
    <w:rsid w:val="009A6B38"/>
    <w:rsid w:val="009B4143"/>
    <w:rsid w:val="009D1869"/>
    <w:rsid w:val="009D4E5E"/>
    <w:rsid w:val="00A01533"/>
    <w:rsid w:val="00A03008"/>
    <w:rsid w:val="00A0619E"/>
    <w:rsid w:val="00A07F6E"/>
    <w:rsid w:val="00A205A9"/>
    <w:rsid w:val="00A3051B"/>
    <w:rsid w:val="00A30C8F"/>
    <w:rsid w:val="00A31397"/>
    <w:rsid w:val="00A40E82"/>
    <w:rsid w:val="00A45B1E"/>
    <w:rsid w:val="00A5167F"/>
    <w:rsid w:val="00A52D31"/>
    <w:rsid w:val="00A60190"/>
    <w:rsid w:val="00A60806"/>
    <w:rsid w:val="00A61998"/>
    <w:rsid w:val="00A6254D"/>
    <w:rsid w:val="00A64934"/>
    <w:rsid w:val="00A66248"/>
    <w:rsid w:val="00A74B4F"/>
    <w:rsid w:val="00A864A1"/>
    <w:rsid w:val="00A90961"/>
    <w:rsid w:val="00A91631"/>
    <w:rsid w:val="00A95BA7"/>
    <w:rsid w:val="00AB0264"/>
    <w:rsid w:val="00AB6270"/>
    <w:rsid w:val="00AC1B0E"/>
    <w:rsid w:val="00AC66DC"/>
    <w:rsid w:val="00AE047A"/>
    <w:rsid w:val="00AE590A"/>
    <w:rsid w:val="00B03AAC"/>
    <w:rsid w:val="00B03E18"/>
    <w:rsid w:val="00B067A7"/>
    <w:rsid w:val="00B0743F"/>
    <w:rsid w:val="00B15017"/>
    <w:rsid w:val="00B1713A"/>
    <w:rsid w:val="00B318FB"/>
    <w:rsid w:val="00B3656E"/>
    <w:rsid w:val="00B37172"/>
    <w:rsid w:val="00B42A1C"/>
    <w:rsid w:val="00B54B84"/>
    <w:rsid w:val="00B6668C"/>
    <w:rsid w:val="00B66C10"/>
    <w:rsid w:val="00B723D5"/>
    <w:rsid w:val="00B755A7"/>
    <w:rsid w:val="00B80969"/>
    <w:rsid w:val="00B83C09"/>
    <w:rsid w:val="00B921FF"/>
    <w:rsid w:val="00B9758B"/>
    <w:rsid w:val="00BA3CBB"/>
    <w:rsid w:val="00BC4651"/>
    <w:rsid w:val="00BD16CD"/>
    <w:rsid w:val="00BD4B28"/>
    <w:rsid w:val="00BE74D2"/>
    <w:rsid w:val="00BF22DA"/>
    <w:rsid w:val="00BF68BB"/>
    <w:rsid w:val="00C12F42"/>
    <w:rsid w:val="00C14A68"/>
    <w:rsid w:val="00C21B76"/>
    <w:rsid w:val="00C44400"/>
    <w:rsid w:val="00C512FB"/>
    <w:rsid w:val="00C51370"/>
    <w:rsid w:val="00C60EDB"/>
    <w:rsid w:val="00C65128"/>
    <w:rsid w:val="00C671C1"/>
    <w:rsid w:val="00C85230"/>
    <w:rsid w:val="00C91D0B"/>
    <w:rsid w:val="00CC487F"/>
    <w:rsid w:val="00CD23D5"/>
    <w:rsid w:val="00CD3129"/>
    <w:rsid w:val="00CD676D"/>
    <w:rsid w:val="00CE544F"/>
    <w:rsid w:val="00CE6BFB"/>
    <w:rsid w:val="00CF3F02"/>
    <w:rsid w:val="00CF553C"/>
    <w:rsid w:val="00D035AF"/>
    <w:rsid w:val="00D2558C"/>
    <w:rsid w:val="00D27698"/>
    <w:rsid w:val="00D34C0C"/>
    <w:rsid w:val="00D35E12"/>
    <w:rsid w:val="00D36443"/>
    <w:rsid w:val="00D44771"/>
    <w:rsid w:val="00D50419"/>
    <w:rsid w:val="00D51153"/>
    <w:rsid w:val="00D51650"/>
    <w:rsid w:val="00D60D8A"/>
    <w:rsid w:val="00D70263"/>
    <w:rsid w:val="00D76FE0"/>
    <w:rsid w:val="00D77ED6"/>
    <w:rsid w:val="00D93AEE"/>
    <w:rsid w:val="00D94DFA"/>
    <w:rsid w:val="00D977F6"/>
    <w:rsid w:val="00DA4EDB"/>
    <w:rsid w:val="00DB252A"/>
    <w:rsid w:val="00DC186F"/>
    <w:rsid w:val="00DC1ABE"/>
    <w:rsid w:val="00DC4070"/>
    <w:rsid w:val="00DD2B08"/>
    <w:rsid w:val="00DF0F3E"/>
    <w:rsid w:val="00DF44EC"/>
    <w:rsid w:val="00DF510E"/>
    <w:rsid w:val="00DF6B97"/>
    <w:rsid w:val="00E11B7A"/>
    <w:rsid w:val="00E16156"/>
    <w:rsid w:val="00E17F24"/>
    <w:rsid w:val="00E20001"/>
    <w:rsid w:val="00E259E8"/>
    <w:rsid w:val="00E2690C"/>
    <w:rsid w:val="00E27BFC"/>
    <w:rsid w:val="00E44657"/>
    <w:rsid w:val="00E56456"/>
    <w:rsid w:val="00E611D9"/>
    <w:rsid w:val="00E64E18"/>
    <w:rsid w:val="00E936C2"/>
    <w:rsid w:val="00EA022F"/>
    <w:rsid w:val="00EA268A"/>
    <w:rsid w:val="00EA30F2"/>
    <w:rsid w:val="00EB31FE"/>
    <w:rsid w:val="00EB4299"/>
    <w:rsid w:val="00EB765B"/>
    <w:rsid w:val="00EC60BD"/>
    <w:rsid w:val="00EC6302"/>
    <w:rsid w:val="00EC7BD5"/>
    <w:rsid w:val="00EE0D7C"/>
    <w:rsid w:val="00EE4916"/>
    <w:rsid w:val="00EF0CC1"/>
    <w:rsid w:val="00EF104C"/>
    <w:rsid w:val="00F03D94"/>
    <w:rsid w:val="00F13B4B"/>
    <w:rsid w:val="00F2037E"/>
    <w:rsid w:val="00F22293"/>
    <w:rsid w:val="00F239A3"/>
    <w:rsid w:val="00F248DA"/>
    <w:rsid w:val="00F27CA5"/>
    <w:rsid w:val="00F34FFE"/>
    <w:rsid w:val="00F36EF3"/>
    <w:rsid w:val="00F47C6B"/>
    <w:rsid w:val="00F47E82"/>
    <w:rsid w:val="00F5569A"/>
    <w:rsid w:val="00F63326"/>
    <w:rsid w:val="00F65D69"/>
    <w:rsid w:val="00F70FEE"/>
    <w:rsid w:val="00F73E6B"/>
    <w:rsid w:val="00FA028C"/>
    <w:rsid w:val="00FA260E"/>
    <w:rsid w:val="00FC24A4"/>
    <w:rsid w:val="00FC6A75"/>
    <w:rsid w:val="00FC7A9F"/>
    <w:rsid w:val="00FD02B6"/>
    <w:rsid w:val="00FE22B0"/>
    <w:rsid w:val="00FE6260"/>
    <w:rsid w:val="00FE6957"/>
    <w:rsid w:val="00FF00D0"/>
    <w:rsid w:val="00FF1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aliases w:val="cap"/>
    <w:basedOn w:val="a1"/>
    <w:next w:val="a1"/>
    <w:link w:val="Char3"/>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4"/>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4">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5"/>
    <w:uiPriority w:val="99"/>
    <w:semiHidden/>
    <w:unhideWhenUsed/>
    <w:rsid w:val="00BD4B28"/>
  </w:style>
  <w:style w:type="character" w:customStyle="1" w:styleId="Char5">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6"/>
    <w:uiPriority w:val="99"/>
    <w:semiHidden/>
    <w:unhideWhenUsed/>
    <w:rsid w:val="00BD4B28"/>
    <w:rPr>
      <w:b/>
      <w:bCs/>
    </w:rPr>
  </w:style>
  <w:style w:type="character" w:customStyle="1" w:styleId="Char6">
    <w:name w:val="批注主题 Char"/>
    <w:basedOn w:val="Char5"/>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character" w:customStyle="1" w:styleId="Char3">
    <w:name w:val="题注 Char"/>
    <w:aliases w:val="cap Char"/>
    <w:basedOn w:val="a2"/>
    <w:link w:val="ab"/>
    <w:rsid w:val="00EA022F"/>
    <w:rPr>
      <w:rFonts w:asciiTheme="majorHAnsi" w:eastAsia="黑体" w:hAnsiTheme="majorHAnsi" w:cstheme="majorBidi"/>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79244-E055-4FCB-A38E-F06CF5887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3</Pages>
  <Words>568</Words>
  <Characters>3238</Characters>
  <Application>Microsoft Office Word</Application>
  <DocSecurity>0</DocSecurity>
  <Lines>26</Lines>
  <Paragraphs>7</Paragraphs>
  <ScaleCrop>false</ScaleCrop>
  <Company/>
  <LinksUpToDate>false</LinksUpToDate>
  <CharactersWithSpaces>3799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5</cp:revision>
  <dcterms:created xsi:type="dcterms:W3CDTF">2019-03-28T07:19:00Z</dcterms:created>
  <dcterms:modified xsi:type="dcterms:W3CDTF">2019-03-28T12:50:00Z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(3)wNCjIDO1EbS5mCGafx/YwwqDLjAdyC3lF2q/jb/sSpUVpnQeXG0m4vdubxK3Nds3HEP3tmHt
6i8nefYxsV5h3EGpSl4uo9I8IUPib4rAovIiPKog6ZTbdKL7xXEhQwNiicxmgy1do8g1HgEN
fVaIN/adysIDdx0QTobU4rOHd7zqLAC65DTpVXSXj4T/t0M1q6OSD12Xb/qa9WIX0m6cMoqh
CLaXZO51BN90xQOLiW</vt:lpwstr>
  </property>
  <property fmtid="{D5CDD505-2E9C-101B-9397-08002B2CF9AE}" pid="3" name="_2015_ms_pID_7253431">
    <vt:lpwstr>H+yndjSpqI8uSAkoaQ4dkYkNATgcLUqCpG0YtwDk5u02Q/81EEQYse
rPCOWbUcC7ljfiEPd7J6BWyytjDM3AEjFK7BclewFv55EZ7MSfr6/+HwttARE7MiKZpqtd1x
g4pRi2QuQgLpyfAKMww8yIEmTbdQgmsndsmHfmGh5BL3SHDK6CJ4d1MCEG+rjAa2O3ElzpQi
uo3C1fsD/PNGFlLNwH5jFIOXxjVZUEXS5doz</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1553758160</vt:lpwstr>
  </property>
</Properties>
</file>